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C66" w:rsidRDefault="00DF6C66" w:rsidP="00DF6C66">
      <w:pPr>
        <w:pStyle w:val="1"/>
      </w:pPr>
      <w:r>
        <w:t>UDC 004.9</w:t>
      </w:r>
    </w:p>
    <w:p w:rsidR="00DF6C66" w:rsidRDefault="00DF6C66" w:rsidP="00DF6C66">
      <w:pPr>
        <w:pStyle w:val="a3"/>
      </w:pPr>
      <w:r>
        <w:t>MODIFICATION OF MODELS FORECASTING</w:t>
      </w:r>
    </w:p>
    <w:p w:rsidR="00DF6C66" w:rsidRDefault="00DF6C66" w:rsidP="00DF6C66">
      <w:pPr>
        <w:pStyle w:val="a4"/>
      </w:pPr>
      <w:r>
        <w:t>B. V. Durniak</w:t>
      </w:r>
      <w:r>
        <w:rPr>
          <w:vertAlign w:val="superscript"/>
        </w:rPr>
        <w:t>1</w:t>
      </w:r>
      <w:r>
        <w:t>, M. M. Kliap</w:t>
      </w:r>
      <w:r>
        <w:rPr>
          <w:vertAlign w:val="superscript"/>
        </w:rPr>
        <w:t>2</w:t>
      </w:r>
    </w:p>
    <w:p w:rsidR="00DF6C66" w:rsidRDefault="00DF6C66" w:rsidP="00DF6C66">
      <w:pPr>
        <w:pStyle w:val="a4"/>
        <w:spacing w:before="60"/>
        <w:rPr>
          <w:i/>
          <w:iCs/>
        </w:rPr>
      </w:pPr>
      <w:r>
        <w:rPr>
          <w:i/>
          <w:iCs/>
          <w:vertAlign w:val="superscript"/>
        </w:rPr>
        <w:t>1</w:t>
      </w:r>
      <w:r>
        <w:rPr>
          <w:i/>
          <w:iCs/>
        </w:rPr>
        <w:t>Ukrainian Academy of Printing,</w:t>
      </w:r>
      <w:r>
        <w:rPr>
          <w:i/>
          <w:iCs/>
        </w:rPr>
        <w:br/>
        <w:t>19, Pidholosko St., Lviv, 79020, Ukraine</w:t>
      </w:r>
    </w:p>
    <w:p w:rsidR="00DF6C66" w:rsidRDefault="00DF6C66" w:rsidP="00DF6C66">
      <w:pPr>
        <w:pStyle w:val="a4"/>
        <w:spacing w:before="60"/>
        <w:rPr>
          <w:i/>
          <w:iCs/>
          <w:sz w:val="22"/>
          <w:szCs w:val="22"/>
          <w:lang w:val="ru-RU"/>
        </w:rPr>
      </w:pPr>
      <w:r>
        <w:rPr>
          <w:i/>
          <w:iCs/>
          <w:vertAlign w:val="superscript"/>
        </w:rPr>
        <w:t>2</w:t>
      </w:r>
      <w:r>
        <w:rPr>
          <w:i/>
          <w:iCs/>
        </w:rPr>
        <w:t>Uzhgorod National University,</w:t>
      </w:r>
      <w:r>
        <w:rPr>
          <w:i/>
          <w:iCs/>
        </w:rPr>
        <w:br/>
        <w:t>Universytetska St., 14, Uzhgorod, 88000, Ukraine</w:t>
      </w:r>
      <w:r>
        <w:rPr>
          <w:i/>
          <w:iCs/>
        </w:rPr>
        <w:br/>
        <w:t>klyap205@mail.ru</w:t>
      </w:r>
    </w:p>
    <w:p w:rsidR="00DF6C66" w:rsidRDefault="00DF6C66" w:rsidP="00DF6C66">
      <w:pPr>
        <w:pStyle w:val="a5"/>
        <w:spacing w:before="60"/>
      </w:pPr>
      <w:r>
        <w:t>The main purpose of using informational extensions is to provide opportunities within the system of forecasting (SP) in the automated mode, expand those or other packages the of individual components functionality of the system forecast implementation of (SRP) or a system of managing the process of forecasting (USP). The extension of the functionality provided by a means that for the most part is attributable to the need for the use of which is determined by factors that they can drill down, given the implemented features.</w:t>
      </w:r>
    </w:p>
    <w:p w:rsidR="00DF6C66" w:rsidRDefault="00DF6C66" w:rsidP="00DF6C66">
      <w:pPr>
        <w:pStyle w:val="a5"/>
      </w:pPr>
      <w:r>
        <w:t>The parameters that describe the following cumulative characteristics, as a measure of adequacy of μ(ZPr</w:t>
      </w:r>
      <w:r>
        <w:rPr>
          <w:vertAlign w:val="subscript"/>
        </w:rPr>
        <w:t>i</w:t>
      </w:r>
      <w:r>
        <w:t>),  are determined on the basis of taking into account the parameters describing the DTP. ZPr</w:t>
      </w:r>
      <w:r>
        <w:rPr>
          <w:vertAlign w:val="subscript"/>
        </w:rPr>
        <w:t>i</w:t>
      </w:r>
      <w:r>
        <w:t xml:space="preserve"> process adequacy , which is realized by means of carrying out the protection of DTP from the negative influence of Vp</w:t>
      </w:r>
      <w:r>
        <w:rPr>
          <w:vertAlign w:val="subscript"/>
        </w:rPr>
        <w:t>i</w:t>
      </w:r>
      <w:r>
        <w:t>, is calculated on the basis of the determination of changes in the values of the regular options {x</w:t>
      </w:r>
      <w:r>
        <w:rPr>
          <w:vertAlign w:val="subscript"/>
        </w:rPr>
        <w:t>1</w:t>
      </w:r>
      <w:r>
        <w:rPr>
          <w:vertAlign w:val="superscript"/>
        </w:rPr>
        <w:t>P</w:t>
      </w:r>
      <w:r>
        <w:t>, …, x</w:t>
      </w:r>
      <w:r>
        <w:rPr>
          <w:vertAlign w:val="subscript"/>
        </w:rPr>
        <w:t>n</w:t>
      </w:r>
      <w:r>
        <w:rPr>
          <w:vertAlign w:val="superscript"/>
        </w:rPr>
        <w:t>P</w:t>
      </w:r>
      <w:r>
        <w:t xml:space="preserve"> that describe the process of implementation of the individual fragments in DTP. ZPr</w:t>
      </w:r>
      <w:r>
        <w:rPr>
          <w:vertAlign w:val="subscript"/>
        </w:rPr>
        <w:t>i</w:t>
      </w:r>
      <w:r>
        <w:t xml:space="preserve"> adequacy is determined by the regarding object that is  operated by ZPr</w:t>
      </w:r>
      <w:r>
        <w:rPr>
          <w:vertAlign w:val="subscript"/>
        </w:rPr>
        <w:t>i</w:t>
      </w:r>
      <w:r>
        <w:t xml:space="preserve"> It is obvious that the status of the external process ZPr</w:t>
      </w:r>
      <w:r>
        <w:rPr>
          <w:vertAlign w:val="subscript"/>
        </w:rPr>
        <w:t>i</w:t>
      </w:r>
      <w:r>
        <w:t xml:space="preserve"> shall always be determined in relation to the process, which is external. As part of this work ZPr</w:t>
      </w:r>
      <w:r>
        <w:rPr>
          <w:vertAlign w:val="subscript"/>
        </w:rPr>
        <w:t>i</w:t>
      </w:r>
      <w:r>
        <w:t xml:space="preserve"> is outside on a staff DTP, because this process performs servicing functions of the DTP, consist in protecting the latter from the influence of random negative factors described as random events Vp.</w:t>
      </w:r>
    </w:p>
    <w:p w:rsidR="006E39E9" w:rsidRPr="008C008B" w:rsidRDefault="006E39E9" w:rsidP="008C008B">
      <w:bookmarkStart w:id="0" w:name="_GoBack"/>
      <w:bookmarkEnd w:id="0"/>
    </w:p>
    <w:sectPr w:rsidR="006E39E9" w:rsidRPr="008C008B" w:rsidSect="00C0345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C717CC"/>
    <w:rsid w:val="00DF6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F6C66"/>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F6C66"/>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F6C66"/>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F6C66"/>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F6C66"/>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F6C66"/>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F6C66"/>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F6C66"/>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1463</Characters>
  <Application>Microsoft Office Word</Application>
  <DocSecurity>0</DocSecurity>
  <Lines>12</Lines>
  <Paragraphs>3</Paragraphs>
  <ScaleCrop>false</ScaleCrop>
  <Company>SPecialiST RePack</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2015-10-03T08:48:00Z</dcterms:modified>
</cp:coreProperties>
</file>